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826" w:rsidRPr="00481E1B" w:rsidRDefault="00F80826" w:rsidP="00F80826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481E1B">
        <w:rPr>
          <w:rFonts w:ascii="Arial" w:hAnsi="Arial" w:cs="Arial"/>
          <w:sz w:val="22"/>
          <w:szCs w:val="22"/>
        </w:rPr>
        <w:t xml:space="preserve">The </w:t>
      </w:r>
      <w:r w:rsidR="004E1171">
        <w:rPr>
          <w:rFonts w:ascii="Arial" w:hAnsi="Arial" w:cs="Arial"/>
          <w:sz w:val="22"/>
          <w:szCs w:val="22"/>
        </w:rPr>
        <w:t>South East Queensland Water Strategy (</w:t>
      </w:r>
      <w:r w:rsidRPr="00481E1B">
        <w:rPr>
          <w:rFonts w:ascii="Arial" w:hAnsi="Arial" w:cs="Arial"/>
          <w:sz w:val="22"/>
          <w:szCs w:val="22"/>
        </w:rPr>
        <w:t>Strategy</w:t>
      </w:r>
      <w:r w:rsidR="004E1171">
        <w:rPr>
          <w:rFonts w:ascii="Arial" w:hAnsi="Arial" w:cs="Arial"/>
          <w:sz w:val="22"/>
          <w:szCs w:val="22"/>
        </w:rPr>
        <w:t>)</w:t>
      </w:r>
      <w:r w:rsidRPr="00481E1B">
        <w:rPr>
          <w:rFonts w:ascii="Arial" w:hAnsi="Arial" w:cs="Arial"/>
          <w:sz w:val="22"/>
          <w:szCs w:val="22"/>
        </w:rPr>
        <w:t xml:space="preserve"> is a 50 year plan to ensure </w:t>
      </w:r>
      <w:r w:rsidR="009C594F" w:rsidRPr="00481E1B">
        <w:rPr>
          <w:rFonts w:ascii="Arial" w:hAnsi="Arial" w:cs="Arial"/>
          <w:sz w:val="22"/>
          <w:szCs w:val="22"/>
        </w:rPr>
        <w:t>a sustainable, efficient and secure water supply for South East Queensland</w:t>
      </w:r>
      <w:r w:rsidRPr="00481E1B">
        <w:rPr>
          <w:rFonts w:ascii="Arial" w:hAnsi="Arial" w:cs="Arial"/>
          <w:sz w:val="22"/>
          <w:szCs w:val="22"/>
        </w:rPr>
        <w:t>.</w:t>
      </w:r>
      <w:r w:rsidR="009C594F" w:rsidRPr="00481E1B">
        <w:rPr>
          <w:rFonts w:ascii="Arial" w:hAnsi="Arial" w:cs="Arial"/>
          <w:sz w:val="22"/>
          <w:szCs w:val="22"/>
        </w:rPr>
        <w:t xml:space="preserve"> It is based on the key principles of conserving water, being prepared and managing water efficiently. </w:t>
      </w:r>
    </w:p>
    <w:p w:rsidR="00F80826" w:rsidRDefault="00F80826" w:rsidP="00F80826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revised draft Strategy was released </w:t>
      </w:r>
      <w:r w:rsidRPr="002E0A9D">
        <w:rPr>
          <w:rFonts w:ascii="Arial" w:hAnsi="Arial" w:cs="Arial"/>
          <w:bCs/>
          <w:spacing w:val="-3"/>
          <w:sz w:val="22"/>
          <w:szCs w:val="22"/>
        </w:rPr>
        <w:t>from 20 November 2009 to 12 February 2010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for consultation. </w:t>
      </w:r>
      <w:r w:rsidRPr="00B633D8">
        <w:rPr>
          <w:rFonts w:ascii="Arial" w:hAnsi="Arial" w:cs="Arial"/>
          <w:bCs/>
          <w:spacing w:val="-3"/>
          <w:sz w:val="22"/>
          <w:szCs w:val="22"/>
        </w:rPr>
        <w:t>During the consultation period</w:t>
      </w:r>
      <w:r>
        <w:rPr>
          <w:rFonts w:ascii="Arial" w:hAnsi="Arial" w:cs="Arial"/>
          <w:bCs/>
          <w:spacing w:val="-3"/>
          <w:sz w:val="22"/>
          <w:szCs w:val="22"/>
        </w:rPr>
        <w:t>, a total of 3,</w:t>
      </w:r>
      <w:r w:rsidRPr="00B633D8">
        <w:rPr>
          <w:rFonts w:ascii="Arial" w:hAnsi="Arial" w:cs="Arial"/>
          <w:bCs/>
          <w:spacing w:val="-3"/>
          <w:sz w:val="22"/>
          <w:szCs w:val="22"/>
        </w:rPr>
        <w:t>410 submissions were received</w:t>
      </w:r>
      <w:r w:rsidR="00481E1B">
        <w:rPr>
          <w:rFonts w:ascii="Arial" w:hAnsi="Arial" w:cs="Arial"/>
          <w:bCs/>
          <w:spacing w:val="-3"/>
          <w:sz w:val="22"/>
          <w:szCs w:val="22"/>
        </w:rPr>
        <w:t>.</w:t>
      </w:r>
      <w:r w:rsidRPr="00B633D8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481E1B">
        <w:rPr>
          <w:rFonts w:ascii="Arial" w:hAnsi="Arial" w:cs="Arial"/>
          <w:bCs/>
          <w:spacing w:val="-3"/>
          <w:sz w:val="22"/>
          <w:szCs w:val="22"/>
        </w:rPr>
        <w:t xml:space="preserve"> All submissions were considered in finalising the Strategy</w:t>
      </w:r>
    </w:p>
    <w:p w:rsidR="00F80826" w:rsidRPr="00B633D8" w:rsidRDefault="00F80826" w:rsidP="00F80826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B633D8">
        <w:rPr>
          <w:rFonts w:ascii="Arial" w:hAnsi="Arial" w:cs="Arial"/>
          <w:bCs/>
          <w:spacing w:val="-3"/>
          <w:sz w:val="22"/>
          <w:szCs w:val="22"/>
        </w:rPr>
        <w:t>Key features of the revised Strategy include:</w:t>
      </w:r>
    </w:p>
    <w:p w:rsidR="009C594F" w:rsidRPr="009C594F" w:rsidRDefault="009C594F" w:rsidP="009C594F">
      <w:pPr>
        <w:numPr>
          <w:ilvl w:val="0"/>
          <w:numId w:val="2"/>
        </w:numPr>
        <w:tabs>
          <w:tab w:val="clear" w:pos="720"/>
          <w:tab w:val="num" w:pos="360"/>
        </w:tabs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C594F">
        <w:rPr>
          <w:rFonts w:ascii="Arial" w:hAnsi="Arial" w:cs="Arial"/>
          <w:bCs/>
          <w:spacing w:val="-3"/>
          <w:sz w:val="22"/>
          <w:szCs w:val="22"/>
        </w:rPr>
        <w:t>Conserving water through consistent Permanent Water Conservation Measures</w:t>
      </w:r>
      <w:r w:rsidR="00A46EBC" w:rsidRPr="009C594F"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 w:rsidR="00A46EBC">
        <w:rPr>
          <w:rFonts w:ascii="Arial" w:hAnsi="Arial" w:cs="Arial"/>
          <w:bCs/>
          <w:spacing w:val="-3"/>
          <w:sz w:val="22"/>
          <w:szCs w:val="22"/>
        </w:rPr>
        <w:t xml:space="preserve">the challenge to residents of </w:t>
      </w:r>
      <w:r w:rsidRPr="009C594F">
        <w:rPr>
          <w:rFonts w:ascii="Arial" w:hAnsi="Arial" w:cs="Arial"/>
          <w:bCs/>
          <w:spacing w:val="-3"/>
          <w:sz w:val="22"/>
          <w:szCs w:val="22"/>
        </w:rPr>
        <w:t xml:space="preserve">Target 200, and improved water efficiencies in business and industry operations and commercial buildings. Local </w:t>
      </w:r>
      <w:r w:rsidR="00A46EBC">
        <w:rPr>
          <w:rFonts w:ascii="Arial" w:hAnsi="Arial" w:cs="Arial"/>
          <w:bCs/>
          <w:spacing w:val="-3"/>
          <w:sz w:val="22"/>
          <w:szCs w:val="22"/>
        </w:rPr>
        <w:t>water supplies such as rainwater tanks for all new houses and most new industrial and commercial buildings</w:t>
      </w:r>
      <w:r w:rsidRPr="009C594F">
        <w:rPr>
          <w:rFonts w:ascii="Arial" w:hAnsi="Arial" w:cs="Arial"/>
          <w:bCs/>
          <w:spacing w:val="-3"/>
          <w:sz w:val="22"/>
          <w:szCs w:val="22"/>
        </w:rPr>
        <w:t xml:space="preserve"> are also an integral element. </w:t>
      </w:r>
    </w:p>
    <w:p w:rsidR="009C594F" w:rsidRPr="009C594F" w:rsidRDefault="009C594F" w:rsidP="009C594F">
      <w:pPr>
        <w:numPr>
          <w:ilvl w:val="0"/>
          <w:numId w:val="2"/>
        </w:numPr>
        <w:tabs>
          <w:tab w:val="clear" w:pos="720"/>
          <w:tab w:val="num" w:pos="360"/>
        </w:tabs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C594F">
        <w:rPr>
          <w:rFonts w:ascii="Arial" w:hAnsi="Arial" w:cs="Arial"/>
          <w:bCs/>
          <w:spacing w:val="-3"/>
          <w:sz w:val="22"/>
          <w:szCs w:val="22"/>
        </w:rPr>
        <w:t xml:space="preserve">Being prepared </w:t>
      </w:r>
      <w:r w:rsidR="00AB741D">
        <w:rPr>
          <w:rFonts w:ascii="Arial" w:hAnsi="Arial" w:cs="Arial"/>
          <w:bCs/>
          <w:spacing w:val="-3"/>
          <w:sz w:val="22"/>
          <w:szCs w:val="22"/>
        </w:rPr>
        <w:t>and supply ready</w:t>
      </w:r>
      <w:r w:rsidRPr="009C594F">
        <w:rPr>
          <w:rFonts w:ascii="Arial" w:hAnsi="Arial" w:cs="Arial"/>
          <w:bCs/>
          <w:spacing w:val="-3"/>
          <w:sz w:val="22"/>
          <w:szCs w:val="22"/>
        </w:rPr>
        <w:t xml:space="preserve">. The Strategy is </w:t>
      </w:r>
      <w:r w:rsidR="00481E1B">
        <w:rPr>
          <w:rFonts w:ascii="Arial" w:hAnsi="Arial" w:cs="Arial"/>
          <w:bCs/>
          <w:spacing w:val="-3"/>
          <w:sz w:val="22"/>
          <w:szCs w:val="22"/>
        </w:rPr>
        <w:t>the</w:t>
      </w:r>
      <w:r w:rsidRPr="009C594F">
        <w:rPr>
          <w:rFonts w:ascii="Arial" w:hAnsi="Arial" w:cs="Arial"/>
          <w:bCs/>
          <w:spacing w:val="-3"/>
          <w:sz w:val="22"/>
          <w:szCs w:val="22"/>
        </w:rPr>
        <w:t xml:space="preserve"> plan to be </w:t>
      </w:r>
      <w:r w:rsidR="00AB741D">
        <w:rPr>
          <w:rFonts w:ascii="Arial" w:hAnsi="Arial" w:cs="Arial"/>
          <w:bCs/>
          <w:spacing w:val="-3"/>
          <w:sz w:val="22"/>
          <w:szCs w:val="22"/>
        </w:rPr>
        <w:t xml:space="preserve">supply </w:t>
      </w:r>
      <w:r w:rsidRPr="009C594F">
        <w:rPr>
          <w:rFonts w:ascii="Arial" w:hAnsi="Arial" w:cs="Arial"/>
          <w:bCs/>
          <w:spacing w:val="-3"/>
          <w:sz w:val="22"/>
          <w:szCs w:val="22"/>
        </w:rPr>
        <w:t xml:space="preserve">ready </w:t>
      </w:r>
      <w:r w:rsidR="00AB741D">
        <w:rPr>
          <w:rFonts w:ascii="Arial" w:hAnsi="Arial" w:cs="Arial"/>
          <w:bCs/>
          <w:spacing w:val="-3"/>
          <w:sz w:val="22"/>
          <w:szCs w:val="22"/>
        </w:rPr>
        <w:t>and to minimise the impacts of</w:t>
      </w:r>
      <w:r w:rsidRPr="009C594F">
        <w:rPr>
          <w:rFonts w:ascii="Arial" w:hAnsi="Arial" w:cs="Arial"/>
          <w:bCs/>
          <w:spacing w:val="-3"/>
          <w:sz w:val="22"/>
          <w:szCs w:val="22"/>
        </w:rPr>
        <w:t xml:space="preserve"> climate change, drought and population growth</w:t>
      </w:r>
      <w:r w:rsidR="00AB741D">
        <w:rPr>
          <w:rFonts w:ascii="Arial" w:hAnsi="Arial" w:cs="Arial"/>
          <w:bCs/>
          <w:spacing w:val="-3"/>
          <w:sz w:val="22"/>
          <w:szCs w:val="22"/>
        </w:rPr>
        <w:t xml:space="preserve"> thorough planned investment, prudent management and a Drought Response Plan</w:t>
      </w:r>
      <w:r w:rsidRPr="009C594F">
        <w:rPr>
          <w:rFonts w:ascii="Arial" w:hAnsi="Arial" w:cs="Arial"/>
          <w:bCs/>
          <w:spacing w:val="-3"/>
          <w:sz w:val="22"/>
          <w:szCs w:val="22"/>
        </w:rPr>
        <w:t xml:space="preserve">. </w:t>
      </w:r>
      <w:r w:rsidR="00AB741D">
        <w:rPr>
          <w:rFonts w:ascii="Arial" w:hAnsi="Arial" w:cs="Arial"/>
          <w:bCs/>
          <w:spacing w:val="-3"/>
          <w:sz w:val="22"/>
          <w:szCs w:val="22"/>
        </w:rPr>
        <w:t>Current f</w:t>
      </w:r>
      <w:r w:rsidRPr="009C594F">
        <w:rPr>
          <w:rFonts w:ascii="Arial" w:hAnsi="Arial" w:cs="Arial"/>
          <w:bCs/>
          <w:spacing w:val="-3"/>
          <w:sz w:val="22"/>
          <w:szCs w:val="22"/>
        </w:rPr>
        <w:t xml:space="preserve">orecasts indicate another water supply source to meet growth is unlikely to be required until about 2022. However if Target 200 is achieved, this can be deferred by a further five years. A diverse range of supply options and new technologies are being investigated to make sure we can use the best option available. </w:t>
      </w:r>
    </w:p>
    <w:p w:rsidR="009C594F" w:rsidRPr="009C594F" w:rsidRDefault="009C594F" w:rsidP="009C594F">
      <w:pPr>
        <w:numPr>
          <w:ilvl w:val="0"/>
          <w:numId w:val="2"/>
        </w:numPr>
        <w:tabs>
          <w:tab w:val="clear" w:pos="720"/>
          <w:tab w:val="num" w:pos="360"/>
        </w:tabs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C594F">
        <w:rPr>
          <w:rFonts w:ascii="Arial" w:hAnsi="Arial" w:cs="Arial"/>
          <w:bCs/>
          <w:spacing w:val="-3"/>
          <w:sz w:val="22"/>
          <w:szCs w:val="22"/>
        </w:rPr>
        <w:t xml:space="preserve">Managing water efficiently. The SEQ Water Grid is </w:t>
      </w:r>
      <w:r w:rsidR="00481E1B">
        <w:rPr>
          <w:rFonts w:ascii="Arial" w:hAnsi="Arial" w:cs="Arial"/>
          <w:bCs/>
          <w:spacing w:val="-3"/>
          <w:sz w:val="22"/>
          <w:szCs w:val="22"/>
        </w:rPr>
        <w:t>now operational</w:t>
      </w:r>
      <w:r w:rsidRPr="009C594F">
        <w:rPr>
          <w:rFonts w:ascii="Arial" w:hAnsi="Arial" w:cs="Arial"/>
          <w:bCs/>
          <w:spacing w:val="-3"/>
          <w:sz w:val="22"/>
          <w:szCs w:val="22"/>
        </w:rPr>
        <w:t xml:space="preserve">. The water industry has been streamlined to ensure efficient management of the Grid and delivery of safe and secure water supplies to everyone. The Strategy also </w:t>
      </w:r>
      <w:r w:rsidR="0093175E">
        <w:rPr>
          <w:rFonts w:ascii="Arial" w:hAnsi="Arial" w:cs="Arial"/>
          <w:bCs/>
          <w:spacing w:val="-3"/>
          <w:sz w:val="22"/>
          <w:szCs w:val="22"/>
        </w:rPr>
        <w:t>provides for</w:t>
      </w:r>
      <w:r w:rsidR="0093175E" w:rsidRPr="009C594F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9C594F">
        <w:rPr>
          <w:rFonts w:ascii="Arial" w:hAnsi="Arial" w:cs="Arial"/>
          <w:bCs/>
          <w:spacing w:val="-3"/>
          <w:sz w:val="22"/>
          <w:szCs w:val="22"/>
        </w:rPr>
        <w:t xml:space="preserve">additional water </w:t>
      </w:r>
      <w:r w:rsidR="0093175E">
        <w:rPr>
          <w:rFonts w:ascii="Arial" w:hAnsi="Arial" w:cs="Arial"/>
          <w:bCs/>
          <w:spacing w:val="-3"/>
          <w:sz w:val="22"/>
          <w:szCs w:val="22"/>
        </w:rPr>
        <w:t xml:space="preserve">to be made </w:t>
      </w:r>
      <w:r w:rsidRPr="009C594F">
        <w:rPr>
          <w:rFonts w:ascii="Arial" w:hAnsi="Arial" w:cs="Arial"/>
          <w:bCs/>
          <w:spacing w:val="-3"/>
          <w:sz w:val="22"/>
          <w:szCs w:val="22"/>
        </w:rPr>
        <w:t>available for rural producers and irrigators, when it’s not required for urban uses.</w:t>
      </w:r>
    </w:p>
    <w:p w:rsidR="00F80826" w:rsidRPr="00B633D8" w:rsidRDefault="00F80826" w:rsidP="00F80826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1" w:name="Public"/>
      <w:bookmarkEnd w:id="1"/>
      <w:r w:rsidRPr="00B633D8">
        <w:rPr>
          <w:rFonts w:ascii="Arial" w:hAnsi="Arial" w:cs="Arial"/>
          <w:bCs/>
          <w:spacing w:val="-3"/>
          <w:sz w:val="22"/>
          <w:szCs w:val="22"/>
        </w:rPr>
        <w:t xml:space="preserve">Desalination facilities will underpin future water security for South East Queensland.  Based on existing knowledge and technology, desalination is the only practical climate </w:t>
      </w:r>
      <w:r w:rsidR="00966E47">
        <w:rPr>
          <w:rFonts w:ascii="Arial" w:hAnsi="Arial" w:cs="Arial"/>
          <w:bCs/>
          <w:spacing w:val="-3"/>
          <w:sz w:val="22"/>
          <w:szCs w:val="22"/>
        </w:rPr>
        <w:t>independent</w:t>
      </w:r>
      <w:r w:rsidR="00966E47" w:rsidRPr="00B633D8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B633D8">
        <w:rPr>
          <w:rFonts w:ascii="Arial" w:hAnsi="Arial" w:cs="Arial"/>
          <w:bCs/>
          <w:spacing w:val="-3"/>
          <w:sz w:val="22"/>
          <w:szCs w:val="22"/>
        </w:rPr>
        <w:t xml:space="preserve">supply to </w:t>
      </w:r>
      <w:r w:rsidR="00966E47" w:rsidRPr="00B633D8">
        <w:rPr>
          <w:rFonts w:ascii="Arial" w:hAnsi="Arial" w:cs="Arial"/>
          <w:bCs/>
          <w:spacing w:val="-3"/>
          <w:sz w:val="22"/>
          <w:szCs w:val="22"/>
        </w:rPr>
        <w:t>fill</w:t>
      </w:r>
      <w:r w:rsidR="00966E47">
        <w:rPr>
          <w:rFonts w:ascii="Arial" w:hAnsi="Arial" w:cs="Arial"/>
          <w:bCs/>
          <w:spacing w:val="-3"/>
          <w:sz w:val="22"/>
          <w:szCs w:val="22"/>
        </w:rPr>
        <w:t xml:space="preserve"> any major</w:t>
      </w:r>
      <w:r w:rsidRPr="00B633D8">
        <w:rPr>
          <w:rFonts w:ascii="Arial" w:hAnsi="Arial" w:cs="Arial"/>
          <w:bCs/>
          <w:spacing w:val="-3"/>
          <w:sz w:val="22"/>
          <w:szCs w:val="22"/>
        </w:rPr>
        <w:t xml:space="preserve"> supply gap</w:t>
      </w:r>
      <w:r w:rsidR="0093175E">
        <w:rPr>
          <w:rFonts w:ascii="Arial" w:hAnsi="Arial" w:cs="Arial"/>
          <w:bCs/>
          <w:spacing w:val="-3"/>
          <w:sz w:val="22"/>
          <w:szCs w:val="22"/>
        </w:rPr>
        <w:t xml:space="preserve"> either for a drought response or demand growth</w:t>
      </w:r>
      <w:r w:rsidRPr="00B633D8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4E1171" w:rsidRPr="004E1171" w:rsidRDefault="004E1171" w:rsidP="004E1171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4E1171">
        <w:rPr>
          <w:rFonts w:ascii="Arial" w:hAnsi="Arial" w:cs="Arial"/>
          <w:sz w:val="22"/>
          <w:szCs w:val="22"/>
          <w:u w:val="single"/>
        </w:rPr>
        <w:t>Cabinet noted</w:t>
      </w:r>
      <w:r>
        <w:rPr>
          <w:rFonts w:ascii="Arial" w:hAnsi="Arial" w:cs="Arial"/>
          <w:sz w:val="22"/>
          <w:szCs w:val="22"/>
        </w:rPr>
        <w:t xml:space="preserve"> </w:t>
      </w:r>
      <w:r w:rsidRPr="00166C74"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z w:val="22"/>
          <w:szCs w:val="22"/>
        </w:rPr>
        <w:t xml:space="preserve"> release of the </w:t>
      </w:r>
      <w:r w:rsidRPr="00166C74">
        <w:rPr>
          <w:rFonts w:ascii="Arial" w:hAnsi="Arial" w:cs="Arial"/>
          <w:i/>
          <w:sz w:val="22"/>
          <w:szCs w:val="22"/>
        </w:rPr>
        <w:t xml:space="preserve">South East Queensland Water </w:t>
      </w:r>
      <w:r>
        <w:rPr>
          <w:rFonts w:ascii="Arial" w:hAnsi="Arial" w:cs="Arial"/>
          <w:i/>
          <w:sz w:val="22"/>
          <w:szCs w:val="22"/>
        </w:rPr>
        <w:t>Strategy</w:t>
      </w:r>
      <w:r>
        <w:rPr>
          <w:rFonts w:ascii="Arial" w:hAnsi="Arial" w:cs="Arial"/>
          <w:sz w:val="22"/>
          <w:szCs w:val="22"/>
        </w:rPr>
        <w:t xml:space="preserve"> (Strategy)</w:t>
      </w:r>
      <w:r>
        <w:rPr>
          <w:rFonts w:ascii="Arial" w:hAnsi="Arial" w:cs="Arial"/>
          <w:i/>
          <w:sz w:val="22"/>
          <w:szCs w:val="22"/>
        </w:rPr>
        <w:t>.</w:t>
      </w:r>
    </w:p>
    <w:p w:rsidR="004E1171" w:rsidRDefault="004E1171" w:rsidP="008D4DE5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4E1171">
        <w:rPr>
          <w:rFonts w:ascii="Arial" w:hAnsi="Arial" w:cs="Arial"/>
          <w:i/>
          <w:sz w:val="22"/>
          <w:szCs w:val="22"/>
          <w:u w:val="single"/>
        </w:rPr>
        <w:t>Attachments:</w:t>
      </w:r>
    </w:p>
    <w:p w:rsidR="004E1171" w:rsidRPr="004E1171" w:rsidRDefault="003B19AD" w:rsidP="00391364">
      <w:pPr>
        <w:numPr>
          <w:ilvl w:val="1"/>
          <w:numId w:val="1"/>
        </w:numPr>
        <w:tabs>
          <w:tab w:val="clear" w:pos="1443"/>
          <w:tab w:val="num" w:pos="709"/>
        </w:tabs>
        <w:spacing w:before="240"/>
        <w:ind w:left="709" w:hanging="283"/>
        <w:jc w:val="both"/>
        <w:rPr>
          <w:rFonts w:ascii="Arial" w:hAnsi="Arial" w:cs="Arial"/>
          <w:i/>
          <w:sz w:val="22"/>
          <w:szCs w:val="22"/>
          <w:u w:val="single"/>
        </w:rPr>
      </w:pPr>
      <w:hyperlink r:id="rId7" w:history="1">
        <w:r w:rsidR="00394728" w:rsidRPr="008D4DE5">
          <w:rPr>
            <w:rStyle w:val="Hyperlink"/>
            <w:rFonts w:ascii="Arial" w:hAnsi="Arial" w:cs="Arial"/>
            <w:sz w:val="22"/>
            <w:szCs w:val="22"/>
          </w:rPr>
          <w:t>South East Queensland Water Strategy</w:t>
        </w:r>
      </w:hyperlink>
    </w:p>
    <w:p w:rsidR="00832327" w:rsidRPr="004E1171" w:rsidRDefault="00832327">
      <w:pPr>
        <w:rPr>
          <w:rFonts w:ascii="Arial" w:hAnsi="Arial" w:cs="Arial"/>
          <w:sz w:val="22"/>
          <w:szCs w:val="22"/>
        </w:rPr>
      </w:pPr>
    </w:p>
    <w:sectPr w:rsidR="00832327" w:rsidRPr="004E1171" w:rsidSect="004E1171">
      <w:headerReference w:type="default" r:id="rId8"/>
      <w:pgSz w:w="11907" w:h="16840" w:code="9"/>
      <w:pgMar w:top="1985" w:right="1418" w:bottom="1191" w:left="1418" w:header="851" w:footer="851" w:gutter="0"/>
      <w:pgNumType w:start="3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6BD" w:rsidRDefault="004966BD">
      <w:r>
        <w:separator/>
      </w:r>
    </w:p>
  </w:endnote>
  <w:endnote w:type="continuationSeparator" w:id="0">
    <w:p w:rsidR="004966BD" w:rsidRDefault="00496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ino MT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6BD" w:rsidRDefault="004966BD">
      <w:r>
        <w:separator/>
      </w:r>
    </w:p>
  </w:footnote>
  <w:footnote w:type="continuationSeparator" w:id="0">
    <w:p w:rsidR="004966BD" w:rsidRDefault="004966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53B" w:rsidRPr="000400F9" w:rsidRDefault="00FA141E" w:rsidP="00717A31">
    <w:pPr>
      <w:pStyle w:val="Header"/>
      <w:ind w:firstLine="3600"/>
      <w:rPr>
        <w:rFonts w:ascii="Arial" w:hAnsi="Arial" w:cs="Arial"/>
        <w:b/>
        <w:sz w:val="22"/>
        <w:szCs w:val="22"/>
        <w:u w:val="single"/>
      </w:rPr>
    </w:pPr>
    <w:r>
      <w:rPr>
        <w:noProof/>
        <w:lang w:val="en-AU" w:eastAsia="en-A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253B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46253B">
      <w:rPr>
        <w:rFonts w:ascii="Arial" w:hAnsi="Arial" w:cs="Arial"/>
        <w:b/>
        <w:sz w:val="22"/>
        <w:szCs w:val="22"/>
        <w:u w:val="single"/>
      </w:rPr>
      <w:t>July 2010</w:t>
    </w:r>
  </w:p>
  <w:p w:rsidR="0046253B" w:rsidRDefault="0046253B" w:rsidP="00717A31">
    <w:pPr>
      <w:pStyle w:val="Header"/>
      <w:spacing w:before="120"/>
      <w:jc w:val="left"/>
      <w:rPr>
        <w:rFonts w:ascii="Arial" w:hAnsi="Arial" w:cs="Arial"/>
        <w:b/>
        <w:sz w:val="22"/>
        <w:szCs w:val="22"/>
        <w:u w:val="single"/>
        <w:lang w:val="en-AU"/>
      </w:rPr>
    </w:pPr>
    <w:r w:rsidRPr="00166C74">
      <w:rPr>
        <w:rFonts w:ascii="Arial" w:hAnsi="Arial" w:cs="Arial"/>
        <w:b/>
        <w:sz w:val="22"/>
        <w:szCs w:val="22"/>
        <w:u w:val="single"/>
        <w:lang w:val="en-AU"/>
      </w:rPr>
      <w:t xml:space="preserve">South </w:t>
    </w:r>
    <w:smartTag w:uri="urn:schemas-microsoft-com:office:smarttags" w:element="place">
      <w:r w:rsidRPr="00166C74">
        <w:rPr>
          <w:rFonts w:ascii="Arial" w:hAnsi="Arial" w:cs="Arial"/>
          <w:b/>
          <w:sz w:val="22"/>
          <w:szCs w:val="22"/>
          <w:u w:val="single"/>
          <w:lang w:val="en-AU"/>
        </w:rPr>
        <w:t>East Queensland</w:t>
      </w:r>
    </w:smartTag>
    <w:r w:rsidRPr="00166C74">
      <w:rPr>
        <w:rFonts w:ascii="Arial" w:hAnsi="Arial" w:cs="Arial"/>
        <w:b/>
        <w:sz w:val="22"/>
        <w:szCs w:val="22"/>
        <w:u w:val="single"/>
        <w:lang w:val="en-AU"/>
      </w:rPr>
      <w:t xml:space="preserve"> </w:t>
    </w:r>
    <w:r>
      <w:rPr>
        <w:rFonts w:ascii="Arial" w:hAnsi="Arial" w:cs="Arial"/>
        <w:b/>
        <w:sz w:val="22"/>
        <w:szCs w:val="22"/>
        <w:u w:val="single"/>
        <w:lang w:val="en-AU"/>
      </w:rPr>
      <w:t>Water Strategy</w:t>
    </w:r>
  </w:p>
  <w:p w:rsidR="0046253B" w:rsidRDefault="0046253B" w:rsidP="00717A31">
    <w:pPr>
      <w:pStyle w:val="Header"/>
      <w:spacing w:before="120"/>
      <w:jc w:val="left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Natural Resources, Mines and Energy and Minister for Trade</w:t>
    </w:r>
  </w:p>
  <w:p w:rsidR="0046253B" w:rsidRPr="00F10DF9" w:rsidRDefault="0046253B" w:rsidP="00717A31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92234"/>
    <w:multiLevelType w:val="hybridMultilevel"/>
    <w:tmpl w:val="545A8002"/>
    <w:lvl w:ilvl="0" w:tplc="D38AFA1A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85A22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C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18E53C97"/>
    <w:multiLevelType w:val="hybridMultilevel"/>
    <w:tmpl w:val="6088BDF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293D31"/>
    <w:multiLevelType w:val="hybridMultilevel"/>
    <w:tmpl w:val="85487A4E"/>
    <w:lvl w:ilvl="0" w:tplc="8BEC53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F176F87"/>
    <w:multiLevelType w:val="hybridMultilevel"/>
    <w:tmpl w:val="39CA4BC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826"/>
    <w:rsid w:val="00000BB0"/>
    <w:rsid w:val="0000127D"/>
    <w:rsid w:val="00007B0C"/>
    <w:rsid w:val="00015E4F"/>
    <w:rsid w:val="0001603A"/>
    <w:rsid w:val="0002016A"/>
    <w:rsid w:val="00021201"/>
    <w:rsid w:val="00032F4C"/>
    <w:rsid w:val="00037B55"/>
    <w:rsid w:val="00037E50"/>
    <w:rsid w:val="00062043"/>
    <w:rsid w:val="00075C02"/>
    <w:rsid w:val="00076FA6"/>
    <w:rsid w:val="000A635A"/>
    <w:rsid w:val="000D7EC0"/>
    <w:rsid w:val="000E042E"/>
    <w:rsid w:val="000E3A8B"/>
    <w:rsid w:val="000E7B8D"/>
    <w:rsid w:val="001073F8"/>
    <w:rsid w:val="00122F0E"/>
    <w:rsid w:val="001259A3"/>
    <w:rsid w:val="00147358"/>
    <w:rsid w:val="00163518"/>
    <w:rsid w:val="0016792F"/>
    <w:rsid w:val="0017116C"/>
    <w:rsid w:val="00171A99"/>
    <w:rsid w:val="00173630"/>
    <w:rsid w:val="00175A59"/>
    <w:rsid w:val="00187C8E"/>
    <w:rsid w:val="001918C5"/>
    <w:rsid w:val="00193D8C"/>
    <w:rsid w:val="001A2A92"/>
    <w:rsid w:val="001B7D50"/>
    <w:rsid w:val="001E06D0"/>
    <w:rsid w:val="0020108C"/>
    <w:rsid w:val="00203E0D"/>
    <w:rsid w:val="00205C80"/>
    <w:rsid w:val="00206653"/>
    <w:rsid w:val="002231DA"/>
    <w:rsid w:val="0023377E"/>
    <w:rsid w:val="002346D6"/>
    <w:rsid w:val="00251716"/>
    <w:rsid w:val="00262C8E"/>
    <w:rsid w:val="00265457"/>
    <w:rsid w:val="00267BF4"/>
    <w:rsid w:val="002A45AB"/>
    <w:rsid w:val="002B2113"/>
    <w:rsid w:val="002B2785"/>
    <w:rsid w:val="002C49C6"/>
    <w:rsid w:val="002C6B3F"/>
    <w:rsid w:val="002F1A86"/>
    <w:rsid w:val="002F7AF1"/>
    <w:rsid w:val="00316D8A"/>
    <w:rsid w:val="00334E9F"/>
    <w:rsid w:val="00344DB7"/>
    <w:rsid w:val="003547D9"/>
    <w:rsid w:val="00362715"/>
    <w:rsid w:val="003636D4"/>
    <w:rsid w:val="00370CC5"/>
    <w:rsid w:val="00384EE9"/>
    <w:rsid w:val="00391364"/>
    <w:rsid w:val="00394728"/>
    <w:rsid w:val="003B19AD"/>
    <w:rsid w:val="003C1EF2"/>
    <w:rsid w:val="003E3592"/>
    <w:rsid w:val="003F4862"/>
    <w:rsid w:val="003F6BD9"/>
    <w:rsid w:val="00423B2D"/>
    <w:rsid w:val="0043011C"/>
    <w:rsid w:val="00430BE5"/>
    <w:rsid w:val="00450ACB"/>
    <w:rsid w:val="00457BF5"/>
    <w:rsid w:val="0046253B"/>
    <w:rsid w:val="0046504F"/>
    <w:rsid w:val="0046514D"/>
    <w:rsid w:val="00465B4E"/>
    <w:rsid w:val="00481E1B"/>
    <w:rsid w:val="00483021"/>
    <w:rsid w:val="004966BD"/>
    <w:rsid w:val="00496F30"/>
    <w:rsid w:val="004A318E"/>
    <w:rsid w:val="004A5431"/>
    <w:rsid w:val="004B446B"/>
    <w:rsid w:val="004C3996"/>
    <w:rsid w:val="004D7BD7"/>
    <w:rsid w:val="004E0686"/>
    <w:rsid w:val="004E1171"/>
    <w:rsid w:val="004E7137"/>
    <w:rsid w:val="004F4454"/>
    <w:rsid w:val="0051054D"/>
    <w:rsid w:val="005174D9"/>
    <w:rsid w:val="005179A8"/>
    <w:rsid w:val="00532367"/>
    <w:rsid w:val="00534933"/>
    <w:rsid w:val="00535F6A"/>
    <w:rsid w:val="00536A5E"/>
    <w:rsid w:val="00542526"/>
    <w:rsid w:val="00543C26"/>
    <w:rsid w:val="0054739D"/>
    <w:rsid w:val="00571373"/>
    <w:rsid w:val="005A4397"/>
    <w:rsid w:val="005A5396"/>
    <w:rsid w:val="005D2ECF"/>
    <w:rsid w:val="005E5FF5"/>
    <w:rsid w:val="00611EB9"/>
    <w:rsid w:val="00667587"/>
    <w:rsid w:val="00670381"/>
    <w:rsid w:val="00672BB3"/>
    <w:rsid w:val="00686C6F"/>
    <w:rsid w:val="0069513D"/>
    <w:rsid w:val="006B2F1F"/>
    <w:rsid w:val="006B633E"/>
    <w:rsid w:val="006B763A"/>
    <w:rsid w:val="006D0F75"/>
    <w:rsid w:val="006E2AFB"/>
    <w:rsid w:val="006F07E1"/>
    <w:rsid w:val="00715F34"/>
    <w:rsid w:val="00717942"/>
    <w:rsid w:val="00717A31"/>
    <w:rsid w:val="00737F14"/>
    <w:rsid w:val="007578BD"/>
    <w:rsid w:val="00785A4E"/>
    <w:rsid w:val="00786242"/>
    <w:rsid w:val="00790671"/>
    <w:rsid w:val="007A5165"/>
    <w:rsid w:val="007B18B0"/>
    <w:rsid w:val="007B4B0D"/>
    <w:rsid w:val="007C2132"/>
    <w:rsid w:val="007C319C"/>
    <w:rsid w:val="007C4250"/>
    <w:rsid w:val="007C5FD0"/>
    <w:rsid w:val="007D69A5"/>
    <w:rsid w:val="007E688C"/>
    <w:rsid w:val="007F1A9B"/>
    <w:rsid w:val="007F7C74"/>
    <w:rsid w:val="007F7D12"/>
    <w:rsid w:val="00826C43"/>
    <w:rsid w:val="00832327"/>
    <w:rsid w:val="00843EAC"/>
    <w:rsid w:val="00844C08"/>
    <w:rsid w:val="008477FD"/>
    <w:rsid w:val="0087597D"/>
    <w:rsid w:val="008851BA"/>
    <w:rsid w:val="0089198B"/>
    <w:rsid w:val="008925B6"/>
    <w:rsid w:val="008B410D"/>
    <w:rsid w:val="008C57CB"/>
    <w:rsid w:val="008D3FC0"/>
    <w:rsid w:val="008D4DE5"/>
    <w:rsid w:val="008F0D4A"/>
    <w:rsid w:val="008F5C6D"/>
    <w:rsid w:val="008F73E6"/>
    <w:rsid w:val="00904B86"/>
    <w:rsid w:val="00907EB9"/>
    <w:rsid w:val="00907F81"/>
    <w:rsid w:val="0092030C"/>
    <w:rsid w:val="0093175E"/>
    <w:rsid w:val="00936C3F"/>
    <w:rsid w:val="00966E47"/>
    <w:rsid w:val="0098107B"/>
    <w:rsid w:val="009B487D"/>
    <w:rsid w:val="009C594F"/>
    <w:rsid w:val="009D150B"/>
    <w:rsid w:val="009E298F"/>
    <w:rsid w:val="009F05B3"/>
    <w:rsid w:val="00A13486"/>
    <w:rsid w:val="00A13520"/>
    <w:rsid w:val="00A147C8"/>
    <w:rsid w:val="00A15E21"/>
    <w:rsid w:val="00A44EE9"/>
    <w:rsid w:val="00A45C4B"/>
    <w:rsid w:val="00A46EBC"/>
    <w:rsid w:val="00A65A87"/>
    <w:rsid w:val="00A67664"/>
    <w:rsid w:val="00A701A7"/>
    <w:rsid w:val="00A771EB"/>
    <w:rsid w:val="00A832A4"/>
    <w:rsid w:val="00A863C3"/>
    <w:rsid w:val="00A90777"/>
    <w:rsid w:val="00A962EF"/>
    <w:rsid w:val="00AB305C"/>
    <w:rsid w:val="00AB4D67"/>
    <w:rsid w:val="00AB65DE"/>
    <w:rsid w:val="00AB741D"/>
    <w:rsid w:val="00AC792E"/>
    <w:rsid w:val="00AD705B"/>
    <w:rsid w:val="00AF0BED"/>
    <w:rsid w:val="00AF1655"/>
    <w:rsid w:val="00B01987"/>
    <w:rsid w:val="00B35C18"/>
    <w:rsid w:val="00B510DE"/>
    <w:rsid w:val="00B66FA8"/>
    <w:rsid w:val="00B760B1"/>
    <w:rsid w:val="00BB51BC"/>
    <w:rsid w:val="00BC359F"/>
    <w:rsid w:val="00BD240B"/>
    <w:rsid w:val="00C11258"/>
    <w:rsid w:val="00C3480E"/>
    <w:rsid w:val="00C3641D"/>
    <w:rsid w:val="00C859DA"/>
    <w:rsid w:val="00CA2007"/>
    <w:rsid w:val="00CD1AB9"/>
    <w:rsid w:val="00CE02A5"/>
    <w:rsid w:val="00CF5989"/>
    <w:rsid w:val="00D118B0"/>
    <w:rsid w:val="00D20652"/>
    <w:rsid w:val="00D313DA"/>
    <w:rsid w:val="00D5276B"/>
    <w:rsid w:val="00D55671"/>
    <w:rsid w:val="00D87401"/>
    <w:rsid w:val="00D979D6"/>
    <w:rsid w:val="00DA3B7F"/>
    <w:rsid w:val="00DB469C"/>
    <w:rsid w:val="00DC0472"/>
    <w:rsid w:val="00DE78B9"/>
    <w:rsid w:val="00DE7F7B"/>
    <w:rsid w:val="00E006BA"/>
    <w:rsid w:val="00E24256"/>
    <w:rsid w:val="00E52F15"/>
    <w:rsid w:val="00E62820"/>
    <w:rsid w:val="00E67909"/>
    <w:rsid w:val="00E73401"/>
    <w:rsid w:val="00EA5D04"/>
    <w:rsid w:val="00EB3B1B"/>
    <w:rsid w:val="00EC2832"/>
    <w:rsid w:val="00EE3BBC"/>
    <w:rsid w:val="00EF172A"/>
    <w:rsid w:val="00EF5CD1"/>
    <w:rsid w:val="00F063F7"/>
    <w:rsid w:val="00F11B4C"/>
    <w:rsid w:val="00F27583"/>
    <w:rsid w:val="00F428ED"/>
    <w:rsid w:val="00F47669"/>
    <w:rsid w:val="00F522BB"/>
    <w:rsid w:val="00F534EB"/>
    <w:rsid w:val="00F64931"/>
    <w:rsid w:val="00F75586"/>
    <w:rsid w:val="00F80826"/>
    <w:rsid w:val="00F83236"/>
    <w:rsid w:val="00F96F3E"/>
    <w:rsid w:val="00FA141E"/>
    <w:rsid w:val="00FB3BF0"/>
    <w:rsid w:val="00FB518D"/>
    <w:rsid w:val="00FC00D6"/>
    <w:rsid w:val="00FE2CC7"/>
    <w:rsid w:val="00FE3ACA"/>
    <w:rsid w:val="00FE4EFB"/>
    <w:rsid w:val="00FF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826"/>
    <w:rPr>
      <w:rFonts w:ascii="Courier New" w:hAnsi="Courier New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0826"/>
    <w:pPr>
      <w:tabs>
        <w:tab w:val="center" w:pos="4320"/>
        <w:tab w:val="right" w:pos="9540"/>
      </w:tabs>
      <w:jc w:val="both"/>
    </w:pPr>
    <w:rPr>
      <w:rFonts w:ascii="Kino MT" w:hAnsi="Kino MT"/>
      <w:sz w:val="14"/>
      <w:lang w:val="en-US"/>
    </w:rPr>
  </w:style>
  <w:style w:type="paragraph" w:styleId="BalloonText">
    <w:name w:val="Balloon Text"/>
    <w:basedOn w:val="Normal"/>
    <w:semiHidden/>
    <w:rsid w:val="00423B2D"/>
    <w:rPr>
      <w:rFonts w:ascii="Tahoma" w:hAnsi="Tahoma" w:cs="Tahoma"/>
      <w:sz w:val="16"/>
      <w:szCs w:val="16"/>
    </w:rPr>
  </w:style>
  <w:style w:type="paragraph" w:customStyle="1" w:styleId="Char1CharCharChar">
    <w:name w:val="Char1 Char Char Char"/>
    <w:basedOn w:val="Normal"/>
    <w:rsid w:val="009C594F"/>
    <w:pPr>
      <w:spacing w:after="240"/>
    </w:pPr>
    <w:rPr>
      <w:rFonts w:ascii="Arial" w:hAnsi="Arial"/>
      <w:sz w:val="22"/>
      <w:lang w:val="en-AU"/>
    </w:rPr>
  </w:style>
  <w:style w:type="paragraph" w:styleId="Footer">
    <w:name w:val="footer"/>
    <w:basedOn w:val="Normal"/>
    <w:link w:val="FooterChar"/>
    <w:rsid w:val="00717A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17A31"/>
    <w:rPr>
      <w:rFonts w:ascii="Courier New" w:hAnsi="Courier New"/>
      <w:lang w:val="en-GB" w:eastAsia="en-US"/>
    </w:rPr>
  </w:style>
  <w:style w:type="character" w:styleId="Hyperlink">
    <w:name w:val="Hyperlink"/>
    <w:basedOn w:val="DefaultParagraphFont"/>
    <w:rsid w:val="008D4D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ttachments/seqws-full%5b1%5d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1884</Characters>
  <Application>Microsoft Office Word</Application>
  <DocSecurity>0</DocSecurity>
  <Lines>29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2226</CharactersWithSpaces>
  <SharedDoc>false</SharedDoc>
  <HyperlinkBase>https://www.cabinet.qld.gov.au/documents/2010/Jul/SEQ Water Strategy/</HyperlinkBase>
  <HLinks>
    <vt:vector size="6" baseType="variant">
      <vt:variant>
        <vt:i4>1966091</vt:i4>
      </vt:variant>
      <vt:variant>
        <vt:i4>0</vt:i4>
      </vt:variant>
      <vt:variant>
        <vt:i4>0</vt:i4>
      </vt:variant>
      <vt:variant>
        <vt:i4>5</vt:i4>
      </vt:variant>
      <vt:variant>
        <vt:lpwstr>Attachments/seqws-full%5b1%5d.pdf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SEQ</cp:keywords>
  <cp:lastModifiedBy/>
  <cp:revision>2</cp:revision>
  <cp:lastPrinted>2010-11-23T06:18:00Z</cp:lastPrinted>
  <dcterms:created xsi:type="dcterms:W3CDTF">2017-10-24T22:19:00Z</dcterms:created>
  <dcterms:modified xsi:type="dcterms:W3CDTF">2018-03-06T01:02:00Z</dcterms:modified>
  <cp:category>Water,South_East_Queensland</cp:category>
</cp:coreProperties>
</file>